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sz w:val="44"/>
          <w:szCs w:val="44"/>
        </w:rPr>
        <w:t>_________(单位部门)媒体信息发布审核表</w:t>
      </w:r>
    </w:p>
    <w:tbl>
      <w:tblPr>
        <w:tblStyle w:val="3"/>
        <w:tblpPr w:leftFromText="180" w:rightFromText="180" w:vertAnchor="page" w:horzAnchor="page" w:tblpX="1736" w:tblpY="22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10"/>
        <w:gridCol w:w="1276"/>
        <w:gridCol w:w="1418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标题</w:t>
            </w:r>
          </w:p>
        </w:tc>
        <w:tc>
          <w:tcPr>
            <w:tcW w:w="74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供稿单位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宣传员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发布平台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学校官网           □ 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微信公众号         □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校报               □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橱窗、电子屏、条幅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发布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  <w:tc>
          <w:tcPr>
            <w:tcW w:w="7406" w:type="dxa"/>
            <w:gridSpan w:val="5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（原文请附页）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三审意见</w:t>
            </w:r>
          </w:p>
        </w:tc>
        <w:tc>
          <w:tcPr>
            <w:tcW w:w="7406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一审签字：              二审签字：            三审签字：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三校意见</w:t>
            </w:r>
          </w:p>
        </w:tc>
        <w:tc>
          <w:tcPr>
            <w:tcW w:w="7406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一校签字：              二校签字：            三校签字：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新闻发布部门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7406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           盖章：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校领导意见</w:t>
            </w:r>
          </w:p>
        </w:tc>
        <w:tc>
          <w:tcPr>
            <w:tcW w:w="74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7406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学校官网主页新闻的信息发布，由本单位负责人审批后，将此表及发布原文报送党委宣传部，由党委宣传部审核发布；如有涉及校领导的重要新闻，供稿单位需提交校领导本人审核同意后，提交党委宣传部按流程发布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2.各单位所属媒体阵地的信息发布，由本单位负责人审批后，将此表及发布原文留存备查。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3.各单位在信息发布前，需严格执行“三审三校”制度。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>注：各二级单位发布信息可参照执行。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xcb</dc:creator>
  <cp:lastModifiedBy>青涩友人</cp:lastModifiedBy>
  <dcterms:modified xsi:type="dcterms:W3CDTF">2021-04-13T07:14:37Z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F338595C6E6F4F7BA024CC95A237660F</vt:lpwstr>
  </property>
</Properties>
</file>